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5F" w:rsidRDefault="00C60659">
      <w:pPr>
        <w:pBdr>
          <w:top w:val="nil"/>
          <w:left w:val="nil"/>
          <w:bottom w:val="nil"/>
          <w:right w:val="nil"/>
          <w:between w:val="nil"/>
        </w:pBdr>
        <w:jc w:val="center"/>
        <w:rPr>
          <w:rFonts w:ascii="Helvetica Neue" w:eastAsia="Helvetica Neue" w:hAnsi="Helvetica Neue" w:cs="Helvetica Neue"/>
          <w:b/>
          <w:color w:val="000000"/>
          <w:sz w:val="22"/>
          <w:szCs w:val="22"/>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2156460</wp:posOffset>
            </wp:positionH>
            <wp:positionV relativeFrom="paragraph">
              <wp:posOffset>-501014</wp:posOffset>
            </wp:positionV>
            <wp:extent cx="1552575" cy="1579880"/>
            <wp:effectExtent l="0" t="0" r="0" b="0"/>
            <wp:wrapSquare wrapText="bothSides" distT="0" distB="0" distL="114300" distR="114300"/>
            <wp:docPr id="1" name="image2.png" descr="Shield Artwk"/>
            <wp:cNvGraphicFramePr/>
            <a:graphic xmlns:a="http://schemas.openxmlformats.org/drawingml/2006/main">
              <a:graphicData uri="http://schemas.openxmlformats.org/drawingml/2006/picture">
                <pic:pic xmlns:pic="http://schemas.openxmlformats.org/drawingml/2006/picture">
                  <pic:nvPicPr>
                    <pic:cNvPr id="0" name="image2.png" descr="Shield Artwk"/>
                    <pic:cNvPicPr preferRelativeResize="0"/>
                  </pic:nvPicPr>
                  <pic:blipFill>
                    <a:blip r:embed="rId7"/>
                    <a:srcRect/>
                    <a:stretch>
                      <a:fillRect/>
                    </a:stretch>
                  </pic:blipFill>
                  <pic:spPr>
                    <a:xfrm>
                      <a:off x="0" y="0"/>
                      <a:ext cx="1552575" cy="1579880"/>
                    </a:xfrm>
                    <a:prstGeom prst="rect">
                      <a:avLst/>
                    </a:prstGeom>
                    <a:ln/>
                  </pic:spPr>
                </pic:pic>
              </a:graphicData>
            </a:graphic>
          </wp:anchor>
        </w:drawing>
      </w:r>
    </w:p>
    <w:p w:rsidR="008F735F" w:rsidRDefault="008F735F">
      <w:pPr>
        <w:pBdr>
          <w:top w:val="nil"/>
          <w:left w:val="nil"/>
          <w:bottom w:val="nil"/>
          <w:right w:val="nil"/>
          <w:between w:val="nil"/>
        </w:pBdr>
        <w:jc w:val="center"/>
        <w:rPr>
          <w:rFonts w:ascii="Helvetica Neue" w:eastAsia="Helvetica Neue" w:hAnsi="Helvetica Neue" w:cs="Helvetica Neue"/>
          <w:b/>
          <w:color w:val="000000"/>
          <w:sz w:val="22"/>
          <w:szCs w:val="22"/>
        </w:rPr>
      </w:pPr>
    </w:p>
    <w:p w:rsidR="008F735F" w:rsidRDefault="008F735F">
      <w:pPr>
        <w:pBdr>
          <w:top w:val="nil"/>
          <w:left w:val="nil"/>
          <w:bottom w:val="nil"/>
          <w:right w:val="nil"/>
          <w:between w:val="nil"/>
        </w:pBdr>
        <w:jc w:val="center"/>
        <w:rPr>
          <w:rFonts w:ascii="Helvetica Neue" w:eastAsia="Helvetica Neue" w:hAnsi="Helvetica Neue" w:cs="Helvetica Neue"/>
          <w:b/>
          <w:color w:val="000000"/>
          <w:sz w:val="22"/>
          <w:szCs w:val="22"/>
        </w:rPr>
      </w:pPr>
    </w:p>
    <w:p w:rsidR="008F735F" w:rsidRDefault="008F735F">
      <w:pPr>
        <w:pBdr>
          <w:top w:val="nil"/>
          <w:left w:val="nil"/>
          <w:bottom w:val="nil"/>
          <w:right w:val="nil"/>
          <w:between w:val="nil"/>
        </w:pBdr>
        <w:jc w:val="center"/>
        <w:rPr>
          <w:rFonts w:ascii="Helvetica Neue" w:eastAsia="Helvetica Neue" w:hAnsi="Helvetica Neue" w:cs="Helvetica Neue"/>
          <w:b/>
          <w:color w:val="000000"/>
          <w:sz w:val="22"/>
          <w:szCs w:val="22"/>
        </w:rPr>
      </w:pPr>
    </w:p>
    <w:p w:rsidR="008F735F" w:rsidRDefault="008F735F">
      <w:pPr>
        <w:pBdr>
          <w:top w:val="nil"/>
          <w:left w:val="nil"/>
          <w:bottom w:val="nil"/>
          <w:right w:val="nil"/>
          <w:between w:val="nil"/>
        </w:pBdr>
        <w:jc w:val="center"/>
        <w:rPr>
          <w:rFonts w:ascii="Helvetica Neue" w:eastAsia="Helvetica Neue" w:hAnsi="Helvetica Neue" w:cs="Helvetica Neue"/>
          <w:b/>
          <w:color w:val="000000"/>
          <w:sz w:val="22"/>
          <w:szCs w:val="22"/>
        </w:rPr>
      </w:pPr>
    </w:p>
    <w:p w:rsidR="008F735F" w:rsidRDefault="008F735F">
      <w:pPr>
        <w:pBdr>
          <w:top w:val="nil"/>
          <w:left w:val="nil"/>
          <w:bottom w:val="nil"/>
          <w:right w:val="nil"/>
          <w:between w:val="nil"/>
        </w:pBdr>
        <w:jc w:val="center"/>
        <w:rPr>
          <w:rFonts w:ascii="Helvetica Neue" w:eastAsia="Helvetica Neue" w:hAnsi="Helvetica Neue" w:cs="Helvetica Neue"/>
          <w:b/>
          <w:color w:val="000000"/>
          <w:sz w:val="22"/>
          <w:szCs w:val="22"/>
        </w:rPr>
      </w:pPr>
    </w:p>
    <w:p w:rsidR="008F735F" w:rsidRDefault="008F735F">
      <w:pPr>
        <w:pBdr>
          <w:top w:val="nil"/>
          <w:left w:val="nil"/>
          <w:bottom w:val="nil"/>
          <w:right w:val="nil"/>
          <w:between w:val="nil"/>
        </w:pBdr>
        <w:jc w:val="center"/>
        <w:rPr>
          <w:rFonts w:ascii="Helvetica Neue" w:eastAsia="Helvetica Neue" w:hAnsi="Helvetica Neue" w:cs="Helvetica Neue"/>
          <w:b/>
          <w:color w:val="000000"/>
          <w:sz w:val="22"/>
          <w:szCs w:val="22"/>
        </w:rPr>
      </w:pPr>
    </w:p>
    <w:p w:rsidR="008F735F" w:rsidRDefault="008F735F">
      <w:pPr>
        <w:pBdr>
          <w:top w:val="nil"/>
          <w:left w:val="nil"/>
          <w:bottom w:val="nil"/>
          <w:right w:val="nil"/>
          <w:between w:val="nil"/>
        </w:pBdr>
        <w:jc w:val="center"/>
        <w:rPr>
          <w:rFonts w:ascii="Helvetica Neue" w:eastAsia="Helvetica Neue" w:hAnsi="Helvetica Neue" w:cs="Helvetica Neue"/>
          <w:b/>
          <w:color w:val="000000"/>
          <w:sz w:val="22"/>
          <w:szCs w:val="22"/>
        </w:rPr>
      </w:pPr>
    </w:p>
    <w:p w:rsidR="008F735F" w:rsidRDefault="008F735F">
      <w:pPr>
        <w:pBdr>
          <w:top w:val="nil"/>
          <w:left w:val="nil"/>
          <w:bottom w:val="nil"/>
          <w:right w:val="nil"/>
          <w:between w:val="nil"/>
        </w:pBdr>
        <w:jc w:val="center"/>
        <w:rPr>
          <w:rFonts w:ascii="Helvetica Neue" w:eastAsia="Helvetica Neue" w:hAnsi="Helvetica Neue" w:cs="Helvetica Neue"/>
          <w:b/>
          <w:color w:val="000000"/>
          <w:sz w:val="22"/>
          <w:szCs w:val="22"/>
        </w:rPr>
      </w:pPr>
    </w:p>
    <w:p w:rsidR="008F735F" w:rsidRDefault="00C60659">
      <w:pPr>
        <w:pBdr>
          <w:top w:val="nil"/>
          <w:left w:val="nil"/>
          <w:bottom w:val="nil"/>
          <w:right w:val="nil"/>
          <w:between w:val="nil"/>
        </w:pBdr>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Sports Premium Strategy</w:t>
      </w:r>
    </w:p>
    <w:p w:rsidR="008F735F" w:rsidRDefault="008F735F">
      <w:pPr>
        <w:pBdr>
          <w:top w:val="nil"/>
          <w:left w:val="nil"/>
          <w:bottom w:val="nil"/>
          <w:right w:val="nil"/>
          <w:between w:val="nil"/>
        </w:pBdr>
        <w:jc w:val="center"/>
        <w:rPr>
          <w:rFonts w:ascii="Helvetica Neue" w:eastAsia="Helvetica Neue" w:hAnsi="Helvetica Neue" w:cs="Helvetica Neue"/>
          <w:color w:val="000000"/>
          <w:sz w:val="22"/>
          <w:szCs w:val="22"/>
        </w:rPr>
      </w:pPr>
    </w:p>
    <w:p w:rsidR="008F735F" w:rsidRDefault="008F735F">
      <w:pPr>
        <w:pBdr>
          <w:top w:val="nil"/>
          <w:left w:val="nil"/>
          <w:bottom w:val="nil"/>
          <w:right w:val="nil"/>
          <w:between w:val="nil"/>
        </w:pBdr>
        <w:rPr>
          <w:rFonts w:ascii="Helvetica Neue" w:eastAsia="Helvetica Neue" w:hAnsi="Helvetica Neue" w:cs="Helvetica Neue"/>
          <w:color w:val="000000"/>
          <w:sz w:val="22"/>
          <w:szCs w:val="22"/>
        </w:rPr>
      </w:pPr>
    </w:p>
    <w:p w:rsidR="008F735F" w:rsidRDefault="00C60659">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Sports Premium Statement (Financial Year 201</w:t>
      </w:r>
      <w:r>
        <w:rPr>
          <w:rFonts w:ascii="Helvetica Neue" w:eastAsia="Helvetica Neue" w:hAnsi="Helvetica Neue" w:cs="Helvetica Neue"/>
          <w:b/>
        </w:rPr>
        <w:t>8</w:t>
      </w:r>
      <w:r>
        <w:rPr>
          <w:rFonts w:ascii="Helvetica Neue" w:eastAsia="Helvetica Neue" w:hAnsi="Helvetica Neue" w:cs="Helvetica Neue"/>
          <w:b/>
          <w:color w:val="000000"/>
        </w:rPr>
        <w:t xml:space="preserve"> - 201</w:t>
      </w:r>
      <w:r>
        <w:rPr>
          <w:rFonts w:ascii="Helvetica Neue" w:eastAsia="Helvetica Neue" w:hAnsi="Helvetica Neue" w:cs="Helvetica Neue"/>
          <w:b/>
        </w:rPr>
        <w:t>9</w:t>
      </w:r>
      <w:r>
        <w:rPr>
          <w:rFonts w:ascii="Helvetica Neue" w:eastAsia="Helvetica Neue" w:hAnsi="Helvetica Neue" w:cs="Helvetica Neue"/>
          <w:b/>
          <w:color w:val="000000"/>
        </w:rPr>
        <w:t>)</w:t>
      </w:r>
      <w:r>
        <w:rPr>
          <w:rFonts w:ascii="Helvetica Neue" w:eastAsia="Helvetica Neue" w:hAnsi="Helvetica Neue" w:cs="Helvetica Neue"/>
          <w:b/>
        </w:rPr>
        <w:t xml:space="preserve"> £17,300</w:t>
      </w:r>
    </w:p>
    <w:p w:rsidR="008F735F" w:rsidRDefault="008F735F">
      <w:pPr>
        <w:pBdr>
          <w:top w:val="nil"/>
          <w:left w:val="nil"/>
          <w:bottom w:val="nil"/>
          <w:right w:val="nil"/>
          <w:between w:val="nil"/>
        </w:pBdr>
        <w:rPr>
          <w:rFonts w:ascii="Arial" w:eastAsia="Arial" w:hAnsi="Arial" w:cs="Arial"/>
          <w:color w:val="333333"/>
          <w:sz w:val="27"/>
          <w:szCs w:val="27"/>
        </w:rPr>
      </w:pPr>
    </w:p>
    <w:p w:rsidR="008F735F" w:rsidRDefault="00C6065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 and Sport Grant funding, which is in an addition to main school funding, is allocated by the Department for Education to improve the quality of PE and sporting activities offered to pupils.</w:t>
      </w:r>
    </w:p>
    <w:p w:rsidR="008F735F" w:rsidRDefault="008F735F">
      <w:pPr>
        <w:pBdr>
          <w:top w:val="nil"/>
          <w:left w:val="nil"/>
          <w:bottom w:val="nil"/>
          <w:right w:val="nil"/>
          <w:between w:val="nil"/>
        </w:pBdr>
        <w:rPr>
          <w:rFonts w:ascii="Arial" w:eastAsia="Arial" w:hAnsi="Arial" w:cs="Arial"/>
          <w:color w:val="000000"/>
          <w:sz w:val="22"/>
          <w:szCs w:val="22"/>
        </w:rPr>
      </w:pPr>
    </w:p>
    <w:p w:rsidR="008F735F" w:rsidRDefault="00C6065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Schools with 17 or more eligible pupils receive £16,000 and an additional payment of £10 per pupil as recorded in the annual schools census in January 201</w:t>
      </w:r>
      <w:r>
        <w:rPr>
          <w:rFonts w:ascii="Arial" w:eastAsia="Arial" w:hAnsi="Arial" w:cs="Arial"/>
          <w:sz w:val="22"/>
          <w:szCs w:val="22"/>
        </w:rPr>
        <w:t>8</w:t>
      </w:r>
      <w:r>
        <w:rPr>
          <w:rFonts w:ascii="Arial" w:eastAsia="Arial" w:hAnsi="Arial" w:cs="Arial"/>
          <w:color w:val="000000"/>
          <w:sz w:val="22"/>
          <w:szCs w:val="22"/>
        </w:rPr>
        <w:t>. The number of children recorded on the annual schools census for January 201</w:t>
      </w:r>
      <w:r>
        <w:rPr>
          <w:rFonts w:ascii="Arial" w:eastAsia="Arial" w:hAnsi="Arial" w:cs="Arial"/>
          <w:sz w:val="22"/>
          <w:szCs w:val="22"/>
        </w:rPr>
        <w:t>8</w:t>
      </w:r>
      <w:r>
        <w:rPr>
          <w:rFonts w:ascii="Arial" w:eastAsia="Arial" w:hAnsi="Arial" w:cs="Arial"/>
          <w:color w:val="000000"/>
          <w:sz w:val="22"/>
          <w:szCs w:val="22"/>
        </w:rPr>
        <w:t xml:space="preserve"> is </w:t>
      </w:r>
      <w:r>
        <w:rPr>
          <w:rFonts w:ascii="Arial" w:eastAsia="Arial" w:hAnsi="Arial" w:cs="Arial"/>
          <w:sz w:val="22"/>
          <w:szCs w:val="22"/>
        </w:rPr>
        <w:t xml:space="preserve">130 </w:t>
      </w:r>
      <w:r>
        <w:rPr>
          <w:rFonts w:ascii="Arial" w:eastAsia="Arial" w:hAnsi="Arial" w:cs="Arial"/>
          <w:color w:val="000000"/>
          <w:sz w:val="22"/>
          <w:szCs w:val="22"/>
        </w:rPr>
        <w:t>a</w:t>
      </w:r>
      <w:r>
        <w:rPr>
          <w:rFonts w:ascii="Arial" w:eastAsia="Arial" w:hAnsi="Arial" w:cs="Arial"/>
          <w:color w:val="000000"/>
          <w:sz w:val="22"/>
          <w:szCs w:val="22"/>
        </w:rPr>
        <w:t xml:space="preserve">nd the total </w:t>
      </w:r>
      <w:r>
        <w:rPr>
          <w:rFonts w:ascii="Arial" w:eastAsia="Arial" w:hAnsi="Arial" w:cs="Arial"/>
          <w:color w:val="000000"/>
          <w:sz w:val="22"/>
          <w:szCs w:val="22"/>
        </w:rPr>
        <w:t>amount of Sports Premium Funding for this academic year i</w:t>
      </w:r>
      <w:r>
        <w:rPr>
          <w:rFonts w:ascii="Arial" w:eastAsia="Arial" w:hAnsi="Arial" w:cs="Arial"/>
          <w:color w:val="000000"/>
          <w:sz w:val="22"/>
          <w:szCs w:val="22"/>
        </w:rPr>
        <w:t>s £</w:t>
      </w:r>
      <w:r>
        <w:rPr>
          <w:rFonts w:ascii="Arial" w:eastAsia="Arial" w:hAnsi="Arial" w:cs="Arial"/>
          <w:sz w:val="22"/>
          <w:szCs w:val="22"/>
        </w:rPr>
        <w:t>17,300.</w:t>
      </w:r>
    </w:p>
    <w:p w:rsidR="008F735F" w:rsidRDefault="008F735F">
      <w:pPr>
        <w:pBdr>
          <w:top w:val="nil"/>
          <w:left w:val="nil"/>
          <w:bottom w:val="nil"/>
          <w:right w:val="nil"/>
          <w:between w:val="nil"/>
        </w:pBdr>
        <w:rPr>
          <w:rFonts w:ascii="Arial" w:eastAsia="Arial" w:hAnsi="Arial" w:cs="Arial"/>
          <w:color w:val="000000"/>
          <w:sz w:val="22"/>
          <w:szCs w:val="22"/>
        </w:rPr>
      </w:pPr>
    </w:p>
    <w:p w:rsidR="008F735F" w:rsidRDefault="008F735F">
      <w:pPr>
        <w:pBdr>
          <w:top w:val="nil"/>
          <w:left w:val="nil"/>
          <w:bottom w:val="nil"/>
          <w:right w:val="nil"/>
          <w:between w:val="nil"/>
        </w:pBdr>
        <w:rPr>
          <w:rFonts w:ascii="Helvetica Neue" w:eastAsia="Helvetica Neue" w:hAnsi="Helvetica Neue" w:cs="Helvetica Neue"/>
          <w:color w:val="000000"/>
          <w:sz w:val="22"/>
          <w:szCs w:val="22"/>
        </w:rPr>
      </w:pPr>
    </w:p>
    <w:p w:rsidR="008F735F" w:rsidRDefault="008F735F">
      <w:pPr>
        <w:pBdr>
          <w:top w:val="nil"/>
          <w:left w:val="nil"/>
          <w:bottom w:val="nil"/>
          <w:right w:val="nil"/>
          <w:between w:val="nil"/>
        </w:pBdr>
        <w:rPr>
          <w:rFonts w:ascii="Helvetica Neue" w:eastAsia="Helvetica Neue" w:hAnsi="Helvetica Neue" w:cs="Helvetica Neue"/>
          <w:b/>
          <w:color w:val="000000"/>
          <w:sz w:val="22"/>
          <w:szCs w:val="22"/>
        </w:rPr>
      </w:pPr>
    </w:p>
    <w:p w:rsidR="008F735F" w:rsidRDefault="008F735F">
      <w:pPr>
        <w:pBdr>
          <w:top w:val="nil"/>
          <w:left w:val="nil"/>
          <w:bottom w:val="nil"/>
          <w:right w:val="nil"/>
          <w:between w:val="nil"/>
        </w:pBdr>
        <w:rPr>
          <w:rFonts w:ascii="Helvetica Neue" w:eastAsia="Helvetica Neue" w:hAnsi="Helvetica Neue" w:cs="Helvetica Neue"/>
          <w:color w:val="000000"/>
          <w:sz w:val="22"/>
          <w:szCs w:val="22"/>
        </w:rPr>
      </w:pPr>
    </w:p>
    <w:tbl>
      <w:tblPr>
        <w:tblStyle w:val="a"/>
        <w:tblW w:w="9632" w:type="dxa"/>
        <w:tblBorders>
          <w:top w:val="single" w:sz="8" w:space="0" w:color="FF2D21"/>
          <w:left w:val="single" w:sz="8" w:space="0" w:color="FF2D21"/>
          <w:bottom w:val="single" w:sz="8" w:space="0" w:color="FF2D21"/>
          <w:right w:val="single" w:sz="8" w:space="0" w:color="FF2D21"/>
          <w:insideH w:val="single" w:sz="8" w:space="0" w:color="FF6158"/>
          <w:insideV w:val="single" w:sz="8" w:space="0" w:color="FF6158"/>
        </w:tblBorders>
        <w:tblLayout w:type="fixed"/>
        <w:tblLook w:val="04A0" w:firstRow="1" w:lastRow="0" w:firstColumn="1" w:lastColumn="0" w:noHBand="0" w:noVBand="1"/>
      </w:tblPr>
      <w:tblGrid>
        <w:gridCol w:w="3210"/>
        <w:gridCol w:w="3211"/>
        <w:gridCol w:w="3211"/>
      </w:tblGrid>
      <w:tr w:rsidR="008F735F" w:rsidTr="008F735F">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3210" w:type="dxa"/>
          </w:tcPr>
          <w:p w:rsidR="008F735F" w:rsidRDefault="00C60659">
            <w:pPr>
              <w:pBdr>
                <w:top w:val="nil"/>
                <w:left w:val="nil"/>
                <w:bottom w:val="nil"/>
                <w:right w:val="nil"/>
                <w:between w:val="nil"/>
              </w:pBdr>
              <w:rPr>
                <w:b/>
                <w:sz w:val="20"/>
                <w:szCs w:val="20"/>
              </w:rPr>
            </w:pPr>
            <w:r>
              <w:rPr>
                <w:b/>
                <w:sz w:val="20"/>
                <w:szCs w:val="20"/>
              </w:rPr>
              <w:t>Allocation</w:t>
            </w:r>
          </w:p>
        </w:tc>
        <w:tc>
          <w:tcPr>
            <w:tcW w:w="3211" w:type="dxa"/>
          </w:tcPr>
          <w:p w:rsidR="008F735F" w:rsidRDefault="00C60659">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Aim</w:t>
            </w:r>
          </w:p>
        </w:tc>
        <w:tc>
          <w:tcPr>
            <w:tcW w:w="3211" w:type="dxa"/>
          </w:tcPr>
          <w:p w:rsidR="008F735F" w:rsidRDefault="00C60659">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Impact</w:t>
            </w:r>
          </w:p>
        </w:tc>
      </w:tr>
      <w:tr w:rsidR="008F735F" w:rsidTr="008F735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210" w:type="dxa"/>
          </w:tcPr>
          <w:p w:rsidR="008F735F" w:rsidRDefault="00C60659">
            <w:pPr>
              <w:pBdr>
                <w:top w:val="nil"/>
                <w:left w:val="nil"/>
                <w:bottom w:val="nil"/>
                <w:right w:val="nil"/>
                <w:between w:val="nil"/>
              </w:pBdr>
              <w:rPr>
                <w:b/>
                <w:sz w:val="20"/>
                <w:szCs w:val="20"/>
              </w:rPr>
            </w:pPr>
            <w:r>
              <w:rPr>
                <w:b/>
                <w:sz w:val="20"/>
                <w:szCs w:val="20"/>
              </w:rPr>
              <w:t>KABS (Kids activities boot camps)- £11,475</w:t>
            </w:r>
          </w:p>
        </w:tc>
        <w:tc>
          <w:tcPr>
            <w:tcW w:w="3211" w:type="dxa"/>
          </w:tcPr>
          <w:p w:rsidR="008F735F" w:rsidRDefault="00C6065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provide the children with a focus into the classroom and physical activity, where they will look at 3 key areas including life style. This will also link to British and school values and link to mental health and wellbeing. (Each class will have one mor</w:t>
            </w:r>
            <w:r>
              <w:rPr>
                <w:sz w:val="20"/>
                <w:szCs w:val="20"/>
              </w:rPr>
              <w:t>ning per week for a half term) This will include</w:t>
            </w:r>
            <w:r>
              <w:rPr>
                <w:sz w:val="20"/>
                <w:szCs w:val="20"/>
              </w:rPr>
              <w:t xml:space="preserve"> a weekly afternoon session, morning session and afterschool club</w:t>
            </w:r>
            <w:r>
              <w:rPr>
                <w:sz w:val="20"/>
                <w:szCs w:val="20"/>
              </w:rPr>
              <w:t>.</w:t>
            </w:r>
          </w:p>
        </w:tc>
        <w:tc>
          <w:tcPr>
            <w:tcW w:w="3211" w:type="dxa"/>
          </w:tcPr>
          <w:p w:rsidR="008F735F" w:rsidRDefault="008F735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i/>
                <w:sz w:val="20"/>
                <w:szCs w:val="20"/>
              </w:rPr>
            </w:pPr>
          </w:p>
        </w:tc>
      </w:tr>
      <w:tr w:rsidR="008F735F" w:rsidTr="008F735F">
        <w:trPr>
          <w:trHeight w:val="1200"/>
        </w:trPr>
        <w:tc>
          <w:tcPr>
            <w:cnfStyle w:val="001000000000" w:firstRow="0" w:lastRow="0" w:firstColumn="1" w:lastColumn="0" w:oddVBand="0" w:evenVBand="0" w:oddHBand="0" w:evenHBand="0" w:firstRowFirstColumn="0" w:firstRowLastColumn="0" w:lastRowFirstColumn="0" w:lastRowLastColumn="0"/>
            <w:tcW w:w="3210" w:type="dxa"/>
          </w:tcPr>
          <w:p w:rsidR="008F735F" w:rsidRDefault="00C60659">
            <w:pPr>
              <w:pBdr>
                <w:top w:val="nil"/>
                <w:left w:val="nil"/>
                <w:bottom w:val="nil"/>
                <w:right w:val="nil"/>
                <w:between w:val="nil"/>
              </w:pBdr>
              <w:rPr>
                <w:b/>
                <w:sz w:val="20"/>
                <w:szCs w:val="20"/>
              </w:rPr>
            </w:pPr>
            <w:r>
              <w:rPr>
                <w:b/>
                <w:sz w:val="20"/>
                <w:szCs w:val="20"/>
              </w:rPr>
              <w:t>Lunchtime Clubs (Premier Sports)- £3108</w:t>
            </w:r>
          </w:p>
        </w:tc>
        <w:tc>
          <w:tcPr>
            <w:tcW w:w="3211" w:type="dxa"/>
          </w:tcPr>
          <w:p w:rsidR="008F735F" w:rsidRDefault="00C606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support targeted groups of children during lunchtime with activities linked to sports focusing on key skills and mental health.</w:t>
            </w:r>
          </w:p>
        </w:tc>
        <w:tc>
          <w:tcPr>
            <w:tcW w:w="3211" w:type="dxa"/>
          </w:tcPr>
          <w:p w:rsidR="008F735F" w:rsidRDefault="008F735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i/>
                <w:sz w:val="20"/>
                <w:szCs w:val="20"/>
                <w:highlight w:val="yellow"/>
              </w:rPr>
            </w:pPr>
          </w:p>
        </w:tc>
      </w:tr>
      <w:tr w:rsidR="008F735F" w:rsidTr="008F735F">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3210" w:type="dxa"/>
          </w:tcPr>
          <w:p w:rsidR="008F735F" w:rsidRDefault="00C60659">
            <w:pPr>
              <w:rPr>
                <w:b/>
                <w:sz w:val="20"/>
                <w:szCs w:val="20"/>
              </w:rPr>
            </w:pPr>
            <w:r>
              <w:rPr>
                <w:b/>
                <w:sz w:val="20"/>
                <w:szCs w:val="20"/>
              </w:rPr>
              <w:t>Teacher CPD- £1350.50</w:t>
            </w:r>
          </w:p>
        </w:tc>
        <w:tc>
          <w:tcPr>
            <w:tcW w:w="3211" w:type="dxa"/>
          </w:tcPr>
          <w:p w:rsidR="008F735F" w:rsidRDefault="00C606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provide staff with specialist and high quality CPD in Physical Education linked to the National Cu</w:t>
            </w:r>
            <w:r>
              <w:rPr>
                <w:sz w:val="20"/>
                <w:szCs w:val="20"/>
              </w:rPr>
              <w:t>rriculum Framework. Two teachers will receive sports CPD each half term ensuring that all staff have received at least a half terms training by the end of the academic year.</w:t>
            </w:r>
          </w:p>
          <w:p w:rsidR="008F735F" w:rsidRDefault="008F735F">
            <w:pPr>
              <w:cnfStyle w:val="000000100000" w:firstRow="0" w:lastRow="0" w:firstColumn="0" w:lastColumn="0" w:oddVBand="0" w:evenVBand="0" w:oddHBand="1" w:evenHBand="0" w:firstRowFirstColumn="0" w:firstRowLastColumn="0" w:lastRowFirstColumn="0" w:lastRowLastColumn="0"/>
              <w:rPr>
                <w:sz w:val="20"/>
                <w:szCs w:val="20"/>
              </w:rPr>
            </w:pPr>
          </w:p>
        </w:tc>
        <w:tc>
          <w:tcPr>
            <w:tcW w:w="3211" w:type="dxa"/>
          </w:tcPr>
          <w:p w:rsidR="008F735F" w:rsidRDefault="008F735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i/>
                <w:sz w:val="20"/>
                <w:szCs w:val="20"/>
              </w:rPr>
            </w:pPr>
          </w:p>
        </w:tc>
      </w:tr>
      <w:tr w:rsidR="008F735F" w:rsidTr="008F735F">
        <w:trPr>
          <w:trHeight w:val="1920"/>
        </w:trPr>
        <w:tc>
          <w:tcPr>
            <w:cnfStyle w:val="001000000000" w:firstRow="0" w:lastRow="0" w:firstColumn="1" w:lastColumn="0" w:oddVBand="0" w:evenVBand="0" w:oddHBand="0" w:evenHBand="0" w:firstRowFirstColumn="0" w:firstRowLastColumn="0" w:lastRowFirstColumn="0" w:lastRowLastColumn="0"/>
            <w:tcW w:w="3210" w:type="dxa"/>
          </w:tcPr>
          <w:p w:rsidR="008F735F" w:rsidRDefault="00C60659">
            <w:pPr>
              <w:pBdr>
                <w:top w:val="nil"/>
                <w:left w:val="nil"/>
                <w:bottom w:val="nil"/>
                <w:right w:val="nil"/>
                <w:between w:val="nil"/>
              </w:pBdr>
              <w:rPr>
                <w:b/>
                <w:sz w:val="20"/>
                <w:szCs w:val="20"/>
              </w:rPr>
            </w:pPr>
            <w:r>
              <w:rPr>
                <w:b/>
                <w:sz w:val="20"/>
                <w:szCs w:val="20"/>
              </w:rPr>
              <w:lastRenderedPageBreak/>
              <w:t>Cheshire Oaks School Sports Partnership- £1000</w:t>
            </w:r>
          </w:p>
        </w:tc>
        <w:tc>
          <w:tcPr>
            <w:tcW w:w="3211" w:type="dxa"/>
          </w:tcPr>
          <w:p w:rsidR="008F735F" w:rsidRDefault="00C606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To allow the children to access a variety of different sporting events and competitions throughout the academic year from Reception to Year 6. </w:t>
            </w:r>
          </w:p>
        </w:tc>
        <w:tc>
          <w:tcPr>
            <w:tcW w:w="3211" w:type="dxa"/>
          </w:tcPr>
          <w:p w:rsidR="008F735F" w:rsidRDefault="008F735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i/>
                <w:sz w:val="20"/>
                <w:szCs w:val="20"/>
              </w:rPr>
            </w:pPr>
          </w:p>
        </w:tc>
      </w:tr>
      <w:tr w:rsidR="008F735F" w:rsidTr="008F735F">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3210" w:type="dxa"/>
          </w:tcPr>
          <w:p w:rsidR="008F735F" w:rsidRDefault="00C60659">
            <w:pPr>
              <w:pBdr>
                <w:top w:val="nil"/>
                <w:left w:val="nil"/>
                <w:bottom w:val="nil"/>
                <w:right w:val="nil"/>
                <w:between w:val="nil"/>
              </w:pBdr>
              <w:rPr>
                <w:b/>
                <w:sz w:val="20"/>
                <w:szCs w:val="20"/>
              </w:rPr>
            </w:pPr>
            <w:r>
              <w:rPr>
                <w:b/>
                <w:sz w:val="20"/>
                <w:szCs w:val="20"/>
              </w:rPr>
              <w:t>Extra Resources - £366.50</w:t>
            </w:r>
          </w:p>
        </w:tc>
        <w:tc>
          <w:tcPr>
            <w:tcW w:w="3211" w:type="dxa"/>
          </w:tcPr>
          <w:p w:rsidR="008F735F" w:rsidRDefault="00C606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 provide the children with appropriate resources and equipment needed for each of </w:t>
            </w:r>
            <w:r>
              <w:rPr>
                <w:sz w:val="20"/>
                <w:szCs w:val="20"/>
              </w:rPr>
              <w:t>the sports they are taking part in during PE lessons, after school and lunchtime clubs.</w:t>
            </w:r>
          </w:p>
        </w:tc>
        <w:tc>
          <w:tcPr>
            <w:tcW w:w="3211" w:type="dxa"/>
          </w:tcPr>
          <w:p w:rsidR="008F735F" w:rsidRDefault="008F735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i/>
                <w:sz w:val="20"/>
                <w:szCs w:val="20"/>
              </w:rPr>
            </w:pPr>
          </w:p>
        </w:tc>
      </w:tr>
    </w:tbl>
    <w:p w:rsidR="008F735F" w:rsidRDefault="008F735F">
      <w:pPr>
        <w:pBdr>
          <w:top w:val="nil"/>
          <w:left w:val="nil"/>
          <w:bottom w:val="nil"/>
          <w:right w:val="nil"/>
          <w:between w:val="nil"/>
        </w:pBdr>
        <w:rPr>
          <w:rFonts w:ascii="Helvetica Neue" w:eastAsia="Helvetica Neue" w:hAnsi="Helvetica Neue" w:cs="Helvetica Neue"/>
          <w:color w:val="000000"/>
          <w:sz w:val="22"/>
          <w:szCs w:val="22"/>
          <w:highlight w:val="yellow"/>
        </w:rPr>
      </w:pPr>
    </w:p>
    <w:sectPr w:rsidR="008F735F">
      <w:footerReference w:type="default" r:id="rId8"/>
      <w:pgSz w:w="11906" w:h="16838"/>
      <w:pgMar w:top="1134" w:right="1134" w:bottom="1134" w:left="1134" w:header="709" w:footer="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59" w:rsidRDefault="00C60659">
      <w:r>
        <w:separator/>
      </w:r>
    </w:p>
  </w:endnote>
  <w:endnote w:type="continuationSeparator" w:id="0">
    <w:p w:rsidR="00C60659" w:rsidRDefault="00C6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Helvetica Neue">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5F" w:rsidRDefault="00C60659">
    <w:pPr>
      <w:pBdr>
        <w:top w:val="single" w:sz="4" w:space="1" w:color="D9D9D9"/>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977199">
      <w:rPr>
        <w:color w:val="000000"/>
      </w:rPr>
      <w:fldChar w:fldCharType="separate"/>
    </w:r>
    <w:r>
      <w:rPr>
        <w:noProof/>
        <w:color w:val="000000"/>
      </w:rPr>
      <w:t>1</w:t>
    </w:r>
    <w:r>
      <w:rPr>
        <w:color w:val="000000"/>
      </w:rPr>
      <w:fldChar w:fldCharType="end"/>
    </w:r>
    <w:r>
      <w:rPr>
        <w:color w:val="000000"/>
      </w:rPr>
      <w:t xml:space="preserve"> | </w:t>
    </w:r>
    <w:r>
      <w:rPr>
        <w:color w:val="808080"/>
      </w:rPr>
      <w:t>Page</w:t>
    </w:r>
  </w:p>
  <w:p w:rsidR="008F735F" w:rsidRDefault="008F735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59" w:rsidRDefault="00C60659">
      <w:r>
        <w:separator/>
      </w:r>
    </w:p>
  </w:footnote>
  <w:footnote w:type="continuationSeparator" w:id="0">
    <w:p w:rsidR="00C60659" w:rsidRDefault="00C60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F735F"/>
    <w:rsid w:val="008F735F"/>
    <w:rsid w:val="00977199"/>
    <w:rsid w:val="00C60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Helvetica Neue" w:eastAsia="Helvetica Neue" w:hAnsi="Helvetica Neue" w:cs="Helvetica Neue"/>
      <w:color w:val="000000"/>
    </w:rPr>
    <w:tblPr>
      <w:tblStyleRowBandSize w:val="1"/>
      <w:tblStyleColBandSize w:val="1"/>
      <w:tblCellMar>
        <w:left w:w="115" w:type="dxa"/>
        <w:right w:w="115" w:type="dxa"/>
      </w:tblCellMar>
    </w:tblPr>
    <w:tcPr>
      <w:shd w:val="clear" w:color="auto" w:fill="FECBC8"/>
    </w:tcPr>
    <w:tblStylePr w:type="firstRow">
      <w:rPr>
        <w:sz w:val="24"/>
        <w:szCs w:val="24"/>
      </w:rPr>
      <w:tblPr/>
      <w:tcPr>
        <w:tcBorders>
          <w:top w:val="nil"/>
          <w:left w:val="nil"/>
          <w:bottom w:val="single" w:sz="24" w:space="0" w:color="FF2D21"/>
          <w:right w:val="nil"/>
          <w:insideH w:val="nil"/>
          <w:insideV w:val="nil"/>
        </w:tcBorders>
        <w:shd w:val="clear" w:color="auto" w:fill="FFFFFF"/>
      </w:tcPr>
    </w:tblStylePr>
    <w:tblStylePr w:type="lastRow">
      <w:tblPr/>
      <w:tcPr>
        <w:tcBorders>
          <w:top w:val="single" w:sz="8" w:space="0" w:color="FF2D21"/>
          <w:left w:val="nil"/>
          <w:bottom w:val="nil"/>
          <w:right w:val="nil"/>
          <w:insideH w:val="nil"/>
          <w:insideV w:val="nil"/>
        </w:tcBorders>
        <w:shd w:val="clear" w:color="auto" w:fill="FFFFFF"/>
      </w:tcPr>
    </w:tblStylePr>
    <w:tblStylePr w:type="firstCol">
      <w:tblPr/>
      <w:tcPr>
        <w:tcBorders>
          <w:top w:val="nil"/>
          <w:left w:val="nil"/>
          <w:bottom w:val="nil"/>
          <w:right w:val="single" w:sz="8" w:space="0" w:color="FF2D21"/>
          <w:insideH w:val="nil"/>
          <w:insideV w:val="nil"/>
        </w:tcBorders>
        <w:shd w:val="clear" w:color="auto" w:fill="FFFFFF"/>
      </w:tcPr>
    </w:tblStylePr>
    <w:tblStylePr w:type="lastCol">
      <w:tblPr/>
      <w:tcPr>
        <w:tcBorders>
          <w:top w:val="nil"/>
          <w:left w:val="single" w:sz="8" w:space="0" w:color="FF2D2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CBC8"/>
      </w:tcPr>
    </w:tblStylePr>
    <w:tblStylePr w:type="band1Horz">
      <w:tblPr/>
      <w:tcPr>
        <w:tcBorders>
          <w:top w:val="nil"/>
          <w:bottom w:val="nil"/>
          <w:insideH w:val="nil"/>
          <w:insideV w:val="nil"/>
        </w:tcBorders>
        <w:shd w:val="clear" w:color="auto" w:fill="FECBC8"/>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Helvetica Neue" w:eastAsia="Helvetica Neue" w:hAnsi="Helvetica Neue" w:cs="Helvetica Neue"/>
      <w:color w:val="000000"/>
    </w:rPr>
    <w:tblPr>
      <w:tblStyleRowBandSize w:val="1"/>
      <w:tblStyleColBandSize w:val="1"/>
      <w:tblCellMar>
        <w:left w:w="115" w:type="dxa"/>
        <w:right w:w="115" w:type="dxa"/>
      </w:tblCellMar>
    </w:tblPr>
    <w:tcPr>
      <w:shd w:val="clear" w:color="auto" w:fill="FECBC8"/>
    </w:tcPr>
    <w:tblStylePr w:type="firstRow">
      <w:rPr>
        <w:sz w:val="24"/>
        <w:szCs w:val="24"/>
      </w:rPr>
      <w:tblPr/>
      <w:tcPr>
        <w:tcBorders>
          <w:top w:val="nil"/>
          <w:left w:val="nil"/>
          <w:bottom w:val="single" w:sz="24" w:space="0" w:color="FF2D21"/>
          <w:right w:val="nil"/>
          <w:insideH w:val="nil"/>
          <w:insideV w:val="nil"/>
        </w:tcBorders>
        <w:shd w:val="clear" w:color="auto" w:fill="FFFFFF"/>
      </w:tcPr>
    </w:tblStylePr>
    <w:tblStylePr w:type="lastRow">
      <w:tblPr/>
      <w:tcPr>
        <w:tcBorders>
          <w:top w:val="single" w:sz="8" w:space="0" w:color="FF2D21"/>
          <w:left w:val="nil"/>
          <w:bottom w:val="nil"/>
          <w:right w:val="nil"/>
          <w:insideH w:val="nil"/>
          <w:insideV w:val="nil"/>
        </w:tcBorders>
        <w:shd w:val="clear" w:color="auto" w:fill="FFFFFF"/>
      </w:tcPr>
    </w:tblStylePr>
    <w:tblStylePr w:type="firstCol">
      <w:tblPr/>
      <w:tcPr>
        <w:tcBorders>
          <w:top w:val="nil"/>
          <w:left w:val="nil"/>
          <w:bottom w:val="nil"/>
          <w:right w:val="single" w:sz="8" w:space="0" w:color="FF2D21"/>
          <w:insideH w:val="nil"/>
          <w:insideV w:val="nil"/>
        </w:tcBorders>
        <w:shd w:val="clear" w:color="auto" w:fill="FFFFFF"/>
      </w:tcPr>
    </w:tblStylePr>
    <w:tblStylePr w:type="lastCol">
      <w:tblPr/>
      <w:tcPr>
        <w:tcBorders>
          <w:top w:val="nil"/>
          <w:left w:val="single" w:sz="8" w:space="0" w:color="FF2D2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CBC8"/>
      </w:tcPr>
    </w:tblStylePr>
    <w:tblStylePr w:type="band1Horz">
      <w:tblPr/>
      <w:tcPr>
        <w:tcBorders>
          <w:top w:val="nil"/>
          <w:bottom w:val="nil"/>
          <w:insideH w:val="nil"/>
          <w:insideV w:val="nil"/>
        </w:tcBorders>
        <w:shd w:val="clear" w:color="auto" w:fill="FECBC8"/>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Jeffs</dc:creator>
  <cp:lastModifiedBy>Holly Foulkes</cp:lastModifiedBy>
  <cp:revision>2</cp:revision>
  <dcterms:created xsi:type="dcterms:W3CDTF">2018-10-09T16:10:00Z</dcterms:created>
  <dcterms:modified xsi:type="dcterms:W3CDTF">2018-10-09T16:10:00Z</dcterms:modified>
</cp:coreProperties>
</file>