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5D209" w14:textId="77777777" w:rsidR="0005176E" w:rsidRDefault="002610AF">
      <w:pPr>
        <w:pStyle w:val="Body"/>
      </w:pPr>
      <w:r>
        <w:t xml:space="preserve">Attainment journey 2016 </w:t>
      </w:r>
      <w:r w:rsidR="00A73B4E">
        <w:t>–</w:t>
      </w:r>
      <w:r>
        <w:t xml:space="preserve"> 2018</w:t>
      </w:r>
    </w:p>
    <w:p w14:paraId="52079742" w14:textId="77777777" w:rsidR="00A73B4E" w:rsidRPr="00A73B4E" w:rsidRDefault="00A73B4E">
      <w:pPr>
        <w:pStyle w:val="Body"/>
        <w:rPr>
          <w:color w:val="499BC9" w:themeColor="accent1"/>
        </w:rPr>
      </w:pPr>
      <w:r w:rsidRPr="00A73B4E">
        <w:rPr>
          <w:color w:val="499BC9" w:themeColor="accent1"/>
        </w:rPr>
        <w:t>(</w:t>
      </w:r>
      <w:proofErr w:type="gramStart"/>
      <w:r w:rsidRPr="00A73B4E">
        <w:rPr>
          <w:color w:val="499BC9" w:themeColor="accent1"/>
        </w:rPr>
        <w:t>national</w:t>
      </w:r>
      <w:proofErr w:type="gramEnd"/>
      <w:r w:rsidRPr="00A73B4E">
        <w:rPr>
          <w:color w:val="499BC9" w:themeColor="accent1"/>
        </w:rPr>
        <w:t>)</w:t>
      </w:r>
    </w:p>
    <w:p w14:paraId="08429FB6" w14:textId="77777777" w:rsidR="0005176E" w:rsidRDefault="0005176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2059"/>
        <w:gridCol w:w="4035"/>
        <w:gridCol w:w="2408"/>
      </w:tblGrid>
      <w:tr w:rsidR="0005176E" w14:paraId="4D515FC7" w14:textId="77777777">
        <w:trPr>
          <w:trHeight w:val="279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CFB2" w14:textId="77777777" w:rsidR="0005176E" w:rsidRDefault="002610AF">
            <w:pPr>
              <w:pStyle w:val="TableStyle2"/>
            </w:pPr>
            <w:r>
              <w:rPr>
                <w:b/>
                <w:bCs/>
              </w:rPr>
              <w:t>EYFS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E3EA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5269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6E26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5176E" w14:paraId="78347B8B" w14:textId="77777777">
        <w:trPr>
          <w:trHeight w:val="485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2312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GLD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31D8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52%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(69)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102C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71%</w:t>
            </w:r>
            <w:r w:rsidR="00A73B4E">
              <w:rPr>
                <w:rFonts w:eastAsia="Arial Unicode MS" w:cs="Arial Unicode MS"/>
              </w:rPr>
              <w:t xml:space="preserve"> </w:t>
            </w:r>
            <w:r w:rsidR="00A73B4E" w:rsidRPr="00A73B4E">
              <w:rPr>
                <w:rFonts w:eastAsia="Arial Unicode MS" w:cs="Arial Unicode MS"/>
                <w:color w:val="499BC9" w:themeColor="accent1"/>
              </w:rPr>
              <w:t>(71)</w:t>
            </w:r>
          </w:p>
          <w:p w14:paraId="562C469E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change of provision, staffing, environment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050B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70%</w:t>
            </w:r>
          </w:p>
        </w:tc>
      </w:tr>
    </w:tbl>
    <w:p w14:paraId="107469C7" w14:textId="77777777" w:rsidR="0005176E" w:rsidRDefault="0005176E">
      <w:pPr>
        <w:pStyle w:val="Body"/>
      </w:pPr>
    </w:p>
    <w:p w14:paraId="5D0AA885" w14:textId="77777777" w:rsidR="0005176E" w:rsidRDefault="0005176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05176E" w14:paraId="5ED54C14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DD1D" w14:textId="77777777" w:rsidR="0005176E" w:rsidRDefault="002610AF">
            <w:pPr>
              <w:pStyle w:val="TableStyle2"/>
            </w:pPr>
            <w:r>
              <w:rPr>
                <w:b/>
                <w:bCs/>
              </w:rPr>
              <w:t>Phonics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A9D5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1371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9F55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5176E" w14:paraId="1125531F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910E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Year 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8E3D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67%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(81)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B74B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80%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(81)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78EA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63%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(82)</w:t>
            </w:r>
          </w:p>
        </w:tc>
      </w:tr>
      <w:tr w:rsidR="0005176E" w14:paraId="1F31A5DA" w14:textId="77777777"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82E2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Year 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1044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79%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(91)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EFE5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90%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(92)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134F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60% retakes passed (not cumulative)</w:t>
            </w:r>
            <w:r w:rsidR="002C151E">
              <w:rPr>
                <w:rFonts w:eastAsia="Arial Unicode MS" w:cs="Arial Unicode MS"/>
              </w:rPr>
              <w:t xml:space="preserve"> </w:t>
            </w:r>
            <w:r w:rsidR="002C151E" w:rsidRPr="002C151E">
              <w:rPr>
                <w:rFonts w:eastAsia="Arial Unicode MS" w:cs="Arial Unicode MS"/>
                <w:color w:val="499BC9" w:themeColor="accent1"/>
              </w:rPr>
              <w:t>(92)</w:t>
            </w:r>
          </w:p>
        </w:tc>
      </w:tr>
    </w:tbl>
    <w:p w14:paraId="4EB46241" w14:textId="77777777" w:rsidR="0005176E" w:rsidRDefault="0005176E">
      <w:pPr>
        <w:pStyle w:val="Body"/>
      </w:pPr>
    </w:p>
    <w:p w14:paraId="792A2B15" w14:textId="77777777" w:rsidR="0005176E" w:rsidRDefault="0005176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05176E" w14:paraId="0FED068E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ABCE" w14:textId="77777777" w:rsidR="0005176E" w:rsidRDefault="002610AF">
            <w:pPr>
              <w:pStyle w:val="TableStyle2"/>
            </w:pPr>
            <w:r>
              <w:rPr>
                <w:b/>
                <w:bCs/>
              </w:rPr>
              <w:t>KS1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DC52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1180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41EE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5176E" w14:paraId="7915E78F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26D1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Reading EXS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E05C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68%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(74)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31B7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59%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(76)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22E7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64%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(75)</w:t>
            </w:r>
          </w:p>
        </w:tc>
      </w:tr>
      <w:tr w:rsidR="0005176E" w14:paraId="1FFFFBA9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4B83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Reading GDS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D674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32%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(24)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EF43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24%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(25)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D65A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18%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(26)</w:t>
            </w:r>
          </w:p>
        </w:tc>
      </w:tr>
      <w:tr w:rsidR="0005176E" w14:paraId="5A8708A6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4861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Writing EXS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94BF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63%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(65)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1F42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45%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(68)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DF7A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64%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(70)</w:t>
            </w:r>
          </w:p>
        </w:tc>
      </w:tr>
      <w:tr w:rsidR="0005176E" w14:paraId="38FCDDF6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A8C7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Writing GDS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9BA1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0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(13)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5851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4%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(16)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D352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14%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(16)</w:t>
            </w:r>
          </w:p>
        </w:tc>
      </w:tr>
      <w:tr w:rsidR="0005176E" w14:paraId="55AF35EB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F2CB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Maths EXS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3A14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68%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(73)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CD0F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59%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(75)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9057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68%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(76)</w:t>
            </w:r>
          </w:p>
        </w:tc>
      </w:tr>
      <w:tr w:rsidR="0005176E" w14:paraId="1900ED75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49D2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Maths GDS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C1C6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21%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(18)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A385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18%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(21)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EFF2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14%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(22)</w:t>
            </w:r>
          </w:p>
        </w:tc>
      </w:tr>
    </w:tbl>
    <w:p w14:paraId="53A27379" w14:textId="77777777" w:rsidR="0005176E" w:rsidRDefault="0005176E">
      <w:pPr>
        <w:pStyle w:val="Body"/>
      </w:pPr>
    </w:p>
    <w:p w14:paraId="1A34DE39" w14:textId="77777777" w:rsidR="0005176E" w:rsidRDefault="0005176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05176E" w14:paraId="02642D84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EE72" w14:textId="77777777" w:rsidR="0005176E" w:rsidRDefault="002610AF">
            <w:pPr>
              <w:pStyle w:val="TableStyle2"/>
            </w:pPr>
            <w:r>
              <w:rPr>
                <w:b/>
                <w:bCs/>
              </w:rPr>
              <w:t>KS2 attainment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7F07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13DF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342C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5176E" w14:paraId="4338BE1D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D6E6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Reading EXS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2D5E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28%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(66)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4AA2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53%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(71)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20BC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55%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(75)</w:t>
            </w:r>
          </w:p>
        </w:tc>
      </w:tr>
      <w:tr w:rsidR="0005176E" w14:paraId="649DA47D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3513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Reading GDS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123C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0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(19)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7D37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7%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(25)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4C5F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15%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(28)</w:t>
            </w:r>
          </w:p>
        </w:tc>
      </w:tr>
      <w:tr w:rsidR="0005176E" w14:paraId="1399D0A3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304C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Writing EXS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81C3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76%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(74)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11D8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73%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(76)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7CE9" w14:textId="77777777" w:rsidR="0005176E" w:rsidRDefault="002610AF" w:rsidP="002C151E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70%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 xml:space="preserve">(78) </w:t>
            </w:r>
          </w:p>
        </w:tc>
      </w:tr>
      <w:tr w:rsidR="0005176E" w14:paraId="38F18D9D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B677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Writing GDS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9E04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0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(15)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BCE6E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0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(18)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16AB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(20)</w:t>
            </w:r>
          </w:p>
        </w:tc>
      </w:tr>
      <w:tr w:rsidR="0005176E" w14:paraId="23A633B6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A4AA" w14:textId="77777777" w:rsidR="0005176E" w:rsidRDefault="00A73B4E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GaPS</w:t>
            </w:r>
            <w:proofErr w:type="spellEnd"/>
            <w:r w:rsidR="002610AF">
              <w:rPr>
                <w:rFonts w:eastAsia="Arial Unicode MS" w:cs="Arial Unicode MS"/>
              </w:rPr>
              <w:t xml:space="preserve"> EXS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E56D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50%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 xml:space="preserve">(73)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4E01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53%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(77)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5A2C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65%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(78)</w:t>
            </w:r>
          </w:p>
        </w:tc>
      </w:tr>
      <w:tr w:rsidR="0005176E" w14:paraId="41937B96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8BE8" w14:textId="77777777" w:rsidR="0005176E" w:rsidRDefault="00A73B4E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GaPS</w:t>
            </w:r>
            <w:proofErr w:type="spellEnd"/>
            <w:r w:rsidR="002610AF">
              <w:rPr>
                <w:rFonts w:eastAsia="Arial Unicode MS" w:cs="Arial Unicode MS"/>
              </w:rPr>
              <w:t xml:space="preserve"> GDS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255D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6%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(23)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31B4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7%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(31)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CD30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20%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(34)</w:t>
            </w:r>
          </w:p>
        </w:tc>
      </w:tr>
      <w:tr w:rsidR="0005176E" w14:paraId="08FD3D97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F877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Maths EXS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D84D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33%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(70)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F177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40%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(75)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46DC" w14:textId="77777777" w:rsidR="0005176E" w:rsidRDefault="002610AF" w:rsidP="002C151E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55%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(76)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176E" w14:paraId="50979C3F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9142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Maths GDS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19526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0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(17)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BC88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0</w:t>
            </w:r>
            <w:r w:rsidR="00A73B4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3B4E" w:rsidRPr="00A73B4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(23)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6C32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15%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(24)</w:t>
            </w:r>
          </w:p>
        </w:tc>
      </w:tr>
      <w:tr w:rsidR="0005176E" w14:paraId="3FFF75A4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EDCF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Combined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FEA1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17%</w:t>
            </w:r>
            <w:r w:rsidR="00A74DDB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4DDB" w:rsidRPr="00A74DDB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(53)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5DEC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33%</w:t>
            </w:r>
            <w:r w:rsidR="00A74DDB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A74DDB" w:rsidRPr="00A74DDB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(61)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151A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55%</w:t>
            </w:r>
            <w:r w:rsidR="002C151E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  <w:r w:rsidR="002C151E" w:rsidRPr="00F066E5">
              <w:rPr>
                <w:rFonts w:ascii="Helvetica" w:hAnsi="Helvetica" w:cs="Arial Unicode MS"/>
                <w:color w:val="FF0000"/>
                <w:sz w:val="20"/>
                <w:szCs w:val="20"/>
              </w:rPr>
              <w:t>(</w:t>
            </w:r>
            <w:r w:rsidR="002C151E"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64)</w:t>
            </w:r>
          </w:p>
        </w:tc>
      </w:tr>
    </w:tbl>
    <w:p w14:paraId="4650DD55" w14:textId="77777777" w:rsidR="0005176E" w:rsidRDefault="0005176E">
      <w:pPr>
        <w:pStyle w:val="Body"/>
      </w:pPr>
    </w:p>
    <w:p w14:paraId="2747EE08" w14:textId="77777777" w:rsidR="002C151E" w:rsidRDefault="002C151E">
      <w:pPr>
        <w:pStyle w:val="Body"/>
      </w:pPr>
    </w:p>
    <w:p w14:paraId="0D836ED1" w14:textId="77777777" w:rsidR="002C151E" w:rsidRDefault="002C151E">
      <w:pPr>
        <w:pStyle w:val="Body"/>
      </w:pPr>
    </w:p>
    <w:p w14:paraId="063F0D77" w14:textId="77777777" w:rsidR="002C151E" w:rsidRDefault="002C151E">
      <w:pPr>
        <w:pStyle w:val="Body"/>
      </w:pPr>
    </w:p>
    <w:p w14:paraId="3BF430EC" w14:textId="77777777" w:rsidR="002C151E" w:rsidRDefault="002C151E">
      <w:pPr>
        <w:pStyle w:val="Body"/>
      </w:pPr>
    </w:p>
    <w:p w14:paraId="2205AB66" w14:textId="77777777" w:rsidR="002C151E" w:rsidRDefault="002C151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05176E" w14:paraId="28F16053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1D7A" w14:textId="77777777" w:rsidR="0005176E" w:rsidRDefault="002610AF">
            <w:pPr>
              <w:pStyle w:val="TableStyle2"/>
            </w:pPr>
            <w:r>
              <w:rPr>
                <w:b/>
                <w:bCs/>
              </w:rPr>
              <w:lastRenderedPageBreak/>
              <w:t>KS2 progress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BEB8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53D1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2A88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05176E" w14:paraId="16E56489" w14:textId="77777777"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1D7B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 xml:space="preserve">Reading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D38C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-4.4</w:t>
            </w:r>
            <w:r w:rsidR="00A74DDB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6FDD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-0.99</w:t>
            </w:r>
            <w:r w:rsidR="00A74DDB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2822" w14:textId="77777777" w:rsidR="00F066E5" w:rsidRDefault="002610AF" w:rsidP="00F066E5">
            <w:pPr>
              <w:pStyle w:val="TableStyle2"/>
              <w:jc w:val="right"/>
            </w:pPr>
            <w:r>
              <w:rPr>
                <w:rFonts w:eastAsia="Arial Unicode MS" w:cs="Arial Unicode MS"/>
              </w:rPr>
              <w:t xml:space="preserve">-0.2 </w:t>
            </w:r>
          </w:p>
          <w:p w14:paraId="070C78B2" w14:textId="77777777" w:rsidR="0005176E" w:rsidRDefault="0005176E" w:rsidP="00F066E5">
            <w:pPr>
              <w:pStyle w:val="TableStyle2"/>
              <w:jc w:val="right"/>
            </w:pPr>
          </w:p>
          <w:p w14:paraId="047EFE10" w14:textId="77777777" w:rsidR="0005176E" w:rsidRDefault="002610AF" w:rsidP="00F066E5">
            <w:pPr>
              <w:pStyle w:val="TableStyle2"/>
              <w:jc w:val="right"/>
            </w:pPr>
            <w:r>
              <w:rPr>
                <w:rFonts w:eastAsia="Arial Unicode MS" w:cs="Arial Unicode MS"/>
              </w:rPr>
              <w:t>(-2.9 to 2.5)</w:t>
            </w:r>
          </w:p>
        </w:tc>
      </w:tr>
      <w:tr w:rsidR="0005176E" w14:paraId="6A10517C" w14:textId="77777777"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280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 xml:space="preserve">Writing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F452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0.3</w:t>
            </w:r>
            <w:r w:rsidR="00A74DDB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D650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-1.7</w:t>
            </w:r>
            <w:r w:rsidR="00A74DDB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A3CF" w14:textId="77777777" w:rsidR="0005176E" w:rsidRDefault="002610AF" w:rsidP="00F066E5">
            <w:pPr>
              <w:pStyle w:val="TableStyle2"/>
              <w:jc w:val="right"/>
            </w:pPr>
            <w:r>
              <w:rPr>
                <w:rFonts w:eastAsia="Arial Unicode MS" w:cs="Arial Unicode MS"/>
              </w:rPr>
              <w:t>-1.1</w:t>
            </w:r>
            <w:r w:rsidR="00F066E5">
              <w:rPr>
                <w:rFonts w:eastAsia="Arial Unicode MS" w:cs="Arial Unicode MS"/>
              </w:rPr>
              <w:t xml:space="preserve"> </w:t>
            </w:r>
          </w:p>
          <w:p w14:paraId="4A3839DB" w14:textId="77777777" w:rsidR="0005176E" w:rsidRDefault="002610AF" w:rsidP="00F066E5">
            <w:pPr>
              <w:pStyle w:val="TableStyle2"/>
              <w:jc w:val="right"/>
            </w:pPr>
            <w:r>
              <w:rPr>
                <w:rFonts w:eastAsia="Arial Unicode MS" w:cs="Arial Unicode MS"/>
              </w:rPr>
              <w:t>(-3.7 to 1.5)</w:t>
            </w:r>
          </w:p>
        </w:tc>
      </w:tr>
      <w:tr w:rsidR="0005176E" w14:paraId="059BF38C" w14:textId="77777777"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F477" w14:textId="77777777" w:rsidR="0005176E" w:rsidRDefault="002610AF">
            <w:pPr>
              <w:pStyle w:val="TableStyle2"/>
            </w:pPr>
            <w:r>
              <w:rPr>
                <w:rFonts w:eastAsia="Arial Unicode MS" w:cs="Arial Unicode MS"/>
              </w:rPr>
              <w:t>Maths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3AB7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-2.5</w:t>
            </w:r>
            <w:r w:rsidR="00A74DDB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753D" w14:textId="77777777" w:rsidR="0005176E" w:rsidRDefault="002610AF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-3.2</w:t>
            </w:r>
            <w:r w:rsidR="00A74DDB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A18A" w14:textId="77777777" w:rsidR="00F066E5" w:rsidRDefault="002610AF" w:rsidP="00F066E5">
            <w:pPr>
              <w:pStyle w:val="TableStyle2"/>
              <w:jc w:val="right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-0.8 </w:t>
            </w:r>
          </w:p>
          <w:p w14:paraId="3926190E" w14:textId="77777777" w:rsidR="0005176E" w:rsidRDefault="002610AF" w:rsidP="00F066E5">
            <w:pPr>
              <w:pStyle w:val="TableStyle2"/>
              <w:jc w:val="right"/>
            </w:pPr>
            <w:r>
              <w:rPr>
                <w:rFonts w:eastAsia="Arial Unicode MS" w:cs="Arial Unicode MS"/>
              </w:rPr>
              <w:t>(-3.2 to 1.68)</w:t>
            </w:r>
          </w:p>
        </w:tc>
      </w:tr>
      <w:tr w:rsidR="002C151E" w14:paraId="32981440" w14:textId="77777777" w:rsidTr="00B74672"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03F2" w14:textId="77777777" w:rsidR="002C151E" w:rsidRDefault="002C151E">
            <w:pPr>
              <w:pStyle w:val="TableStyle2"/>
              <w:rPr>
                <w:rFonts w:eastAsia="Arial Unicode MS" w:cs="Arial Unicode MS"/>
                <w:b/>
              </w:rPr>
            </w:pPr>
            <w:r w:rsidRPr="002C151E">
              <w:rPr>
                <w:rFonts w:eastAsia="Arial Unicode MS" w:cs="Arial Unicode MS"/>
                <w:b/>
              </w:rPr>
              <w:t>KS2 attainment</w:t>
            </w:r>
          </w:p>
          <w:p w14:paraId="4F333CB2" w14:textId="77777777" w:rsidR="002C151E" w:rsidRPr="002C151E" w:rsidRDefault="002C151E">
            <w:pPr>
              <w:pStyle w:val="TableStyle2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(scaled score)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5413" w14:textId="77777777" w:rsidR="002C151E" w:rsidRPr="002C151E" w:rsidRDefault="002C151E">
            <w:pPr>
              <w:jc w:val="right"/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</w:pPr>
            <w:r w:rsidRPr="002C151E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4DD2" w14:textId="77777777" w:rsidR="002C151E" w:rsidRPr="002C151E" w:rsidRDefault="002C151E">
            <w:pPr>
              <w:jc w:val="right"/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</w:pPr>
            <w:r w:rsidRPr="002C151E">
              <w:rPr>
                <w:rFonts w:ascii="Helvetica" w:hAnsi="Helvetica" w:cs="Arial Unicode MS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40F0" w14:textId="77777777" w:rsidR="002C151E" w:rsidRPr="002C151E" w:rsidRDefault="002C151E" w:rsidP="002C151E">
            <w:pPr>
              <w:pStyle w:val="TableStyle2"/>
              <w:jc w:val="right"/>
              <w:rPr>
                <w:rFonts w:eastAsia="Arial Unicode MS" w:cs="Arial Unicode MS"/>
                <w:b/>
              </w:rPr>
            </w:pPr>
            <w:r w:rsidRPr="002C151E">
              <w:rPr>
                <w:rFonts w:eastAsia="Arial Unicode MS" w:cs="Arial Unicode MS"/>
                <w:b/>
              </w:rPr>
              <w:t>2018</w:t>
            </w:r>
          </w:p>
        </w:tc>
      </w:tr>
      <w:tr w:rsidR="002C151E" w14:paraId="43A1A892" w14:textId="77777777" w:rsidTr="00B74672"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A5A8" w14:textId="77777777" w:rsidR="002C151E" w:rsidRPr="002C151E" w:rsidRDefault="002C151E">
            <w:pPr>
              <w:pStyle w:val="TableStyle2"/>
              <w:rPr>
                <w:rFonts w:eastAsia="Arial Unicode MS" w:cs="Arial Unicode MS"/>
              </w:rPr>
            </w:pPr>
            <w:r w:rsidRPr="002C151E">
              <w:rPr>
                <w:rFonts w:eastAsia="Arial Unicode MS" w:cs="Arial Unicode MS"/>
              </w:rPr>
              <w:t>Reading</w:t>
            </w:r>
          </w:p>
          <w:p w14:paraId="30D8DFAB" w14:textId="77777777" w:rsidR="002C151E" w:rsidRPr="002C151E" w:rsidRDefault="002C151E">
            <w:pPr>
              <w:pStyle w:val="TableStyle2"/>
              <w:rPr>
                <w:rFonts w:eastAsia="Arial Unicode MS" w:cs="Arial Unicode M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8176" w14:textId="77777777" w:rsidR="002C151E" w:rsidRDefault="002C151E">
            <w:pPr>
              <w:jc w:val="right"/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(103)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3349" w14:textId="77777777" w:rsidR="002C151E" w:rsidRDefault="002C151E">
            <w:pPr>
              <w:jc w:val="right"/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(104</w:t>
            </w:r>
            <w:r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1976" w14:textId="77777777" w:rsidR="002C151E" w:rsidRDefault="00F066E5" w:rsidP="000B6BB4">
            <w:pPr>
              <w:pStyle w:val="TableStyle2"/>
              <w:jc w:val="right"/>
              <w:rPr>
                <w:rFonts w:eastAsia="Arial Unicode MS" w:cs="Arial Unicode MS"/>
              </w:rPr>
            </w:pPr>
            <w:r w:rsidRPr="00F066E5">
              <w:rPr>
                <w:rFonts w:cs="Arial Unicode MS"/>
                <w:color w:val="auto"/>
              </w:rPr>
              <w:t xml:space="preserve">101.3 </w:t>
            </w:r>
            <w:r w:rsidR="002C151E">
              <w:rPr>
                <w:rFonts w:cs="Arial Unicode MS"/>
                <w:color w:val="499BC9" w:themeColor="accent1"/>
              </w:rPr>
              <w:t>(105</w:t>
            </w:r>
            <w:r w:rsidR="002C151E" w:rsidRPr="002C151E">
              <w:rPr>
                <w:rFonts w:cs="Arial Unicode MS"/>
                <w:color w:val="499BC9" w:themeColor="accent1"/>
              </w:rPr>
              <w:t>)</w:t>
            </w:r>
          </w:p>
        </w:tc>
      </w:tr>
      <w:tr w:rsidR="002C151E" w14:paraId="51BDC701" w14:textId="77777777" w:rsidTr="00B74672"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C7AD" w14:textId="77777777" w:rsidR="002C151E" w:rsidRPr="002C151E" w:rsidRDefault="002C151E">
            <w:pPr>
              <w:pStyle w:val="TableStyle2"/>
              <w:rPr>
                <w:rFonts w:eastAsia="Arial Unicode MS" w:cs="Arial Unicode MS"/>
              </w:rPr>
            </w:pPr>
            <w:r w:rsidRPr="002C151E">
              <w:rPr>
                <w:rFonts w:eastAsia="Arial Unicode MS" w:cs="Arial Unicode MS"/>
              </w:rPr>
              <w:t>Maths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FB22" w14:textId="77777777" w:rsidR="002C151E" w:rsidRDefault="002C151E">
            <w:pPr>
              <w:jc w:val="right"/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(103)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2589" w14:textId="77777777" w:rsidR="002C151E" w:rsidRDefault="002C151E">
            <w:pPr>
              <w:jc w:val="right"/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(104</w:t>
            </w:r>
            <w:r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DEF9" w14:textId="77777777" w:rsidR="002C151E" w:rsidRDefault="00F066E5" w:rsidP="000B6BB4">
            <w:pPr>
              <w:pStyle w:val="TableStyle2"/>
              <w:jc w:val="right"/>
              <w:rPr>
                <w:rFonts w:eastAsia="Arial Unicode MS" w:cs="Arial Unicode MS"/>
              </w:rPr>
            </w:pPr>
            <w:r w:rsidRPr="00F066E5">
              <w:rPr>
                <w:rFonts w:cs="Arial Unicode MS"/>
                <w:color w:val="auto"/>
              </w:rPr>
              <w:t xml:space="preserve">100.5 </w:t>
            </w:r>
            <w:r w:rsidR="002C151E">
              <w:rPr>
                <w:rFonts w:cs="Arial Unicode MS"/>
                <w:color w:val="499BC9" w:themeColor="accent1"/>
              </w:rPr>
              <w:t>(104</w:t>
            </w:r>
            <w:r w:rsidR="002C151E" w:rsidRPr="002C151E">
              <w:rPr>
                <w:rFonts w:cs="Arial Unicode MS"/>
                <w:color w:val="499BC9" w:themeColor="accent1"/>
              </w:rPr>
              <w:t>)</w:t>
            </w:r>
          </w:p>
        </w:tc>
      </w:tr>
      <w:tr w:rsidR="002C151E" w14:paraId="2B739CDC" w14:textId="77777777"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5551" w14:textId="77777777" w:rsidR="002C151E" w:rsidRPr="002C151E" w:rsidRDefault="002C151E">
            <w:pPr>
              <w:pStyle w:val="TableStyle2"/>
              <w:rPr>
                <w:rFonts w:eastAsia="Arial Unicode MS" w:cs="Arial Unicode MS"/>
              </w:rPr>
            </w:pPr>
            <w:proofErr w:type="spellStart"/>
            <w:r w:rsidRPr="002C151E">
              <w:rPr>
                <w:rFonts w:eastAsia="Arial Unicode MS" w:cs="Arial Unicode MS"/>
              </w:rPr>
              <w:t>GaPS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EA1B" w14:textId="77777777" w:rsidR="002C151E" w:rsidRDefault="002C151E">
            <w:pPr>
              <w:jc w:val="right"/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(104</w:t>
            </w:r>
            <w:r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D404" w14:textId="77777777" w:rsidR="002C151E" w:rsidRDefault="002C151E">
            <w:pPr>
              <w:jc w:val="right"/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(106</w:t>
            </w:r>
            <w:r w:rsidRPr="002C151E">
              <w:rPr>
                <w:rFonts w:ascii="Helvetica" w:hAnsi="Helvetica" w:cs="Arial Unicode MS"/>
                <w:color w:val="499BC9" w:themeColor="accent1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7EDC" w14:textId="77777777" w:rsidR="002C151E" w:rsidRDefault="002C151E" w:rsidP="002C151E">
            <w:pPr>
              <w:pStyle w:val="TableStyle2"/>
              <w:jc w:val="right"/>
              <w:rPr>
                <w:rFonts w:eastAsia="Arial Unicode MS" w:cs="Arial Unicode MS"/>
              </w:rPr>
            </w:pPr>
            <w:r>
              <w:rPr>
                <w:rFonts w:cs="Arial Unicode MS"/>
                <w:color w:val="499BC9" w:themeColor="accent1"/>
              </w:rPr>
              <w:t>(106</w:t>
            </w:r>
            <w:r w:rsidRPr="002C151E">
              <w:rPr>
                <w:rFonts w:cs="Arial Unicode MS"/>
                <w:color w:val="499BC9" w:themeColor="accent1"/>
              </w:rPr>
              <w:t>)</w:t>
            </w:r>
          </w:p>
        </w:tc>
      </w:tr>
    </w:tbl>
    <w:p w14:paraId="0D555CB9" w14:textId="77777777" w:rsidR="0005176E" w:rsidRDefault="0005176E">
      <w:pPr>
        <w:pStyle w:val="Body"/>
      </w:pPr>
    </w:p>
    <w:p w14:paraId="1ED2CC8C" w14:textId="77777777" w:rsidR="00B74672" w:rsidRDefault="00B74672">
      <w:pPr>
        <w:pStyle w:val="Body"/>
      </w:pPr>
    </w:p>
    <w:p w14:paraId="17FDD833" w14:textId="77777777" w:rsidR="00E72343" w:rsidRDefault="00E72343">
      <w:pPr>
        <w:pStyle w:val="Body"/>
      </w:pPr>
    </w:p>
    <w:p w14:paraId="005BDEFE" w14:textId="77777777" w:rsidR="00E72343" w:rsidRDefault="00E72343">
      <w:pPr>
        <w:pStyle w:val="Body"/>
      </w:pPr>
    </w:p>
    <w:p w14:paraId="5F866E2B" w14:textId="77777777" w:rsidR="00E72343" w:rsidRDefault="00E72343">
      <w:pPr>
        <w:pStyle w:val="Body"/>
      </w:pPr>
    </w:p>
    <w:p w14:paraId="433D54CB" w14:textId="77777777" w:rsidR="00E72343" w:rsidRDefault="00E72343">
      <w:pPr>
        <w:pStyle w:val="Body"/>
      </w:pPr>
    </w:p>
    <w:p w14:paraId="22EACA90" w14:textId="77777777" w:rsidR="00E72343" w:rsidRDefault="00E72343">
      <w:pPr>
        <w:pStyle w:val="Body"/>
      </w:pPr>
    </w:p>
    <w:p w14:paraId="2469AF7C" w14:textId="77777777" w:rsidR="00E72343" w:rsidRDefault="00E72343">
      <w:pPr>
        <w:pStyle w:val="Body"/>
      </w:pPr>
    </w:p>
    <w:p w14:paraId="057DF23B" w14:textId="77777777" w:rsidR="00E72343" w:rsidRDefault="00E72343">
      <w:pPr>
        <w:pStyle w:val="Body"/>
      </w:pPr>
    </w:p>
    <w:p w14:paraId="4BC26E2A" w14:textId="77777777" w:rsidR="00E72343" w:rsidRDefault="00E72343">
      <w:pPr>
        <w:pStyle w:val="Body"/>
      </w:pPr>
    </w:p>
    <w:p w14:paraId="7D092BF4" w14:textId="77777777" w:rsidR="00E72343" w:rsidRDefault="00E72343">
      <w:pPr>
        <w:pStyle w:val="Body"/>
      </w:pPr>
    </w:p>
    <w:p w14:paraId="63E822A7" w14:textId="77777777" w:rsidR="00E72343" w:rsidRDefault="00E72343">
      <w:pPr>
        <w:pStyle w:val="Body"/>
      </w:pPr>
    </w:p>
    <w:p w14:paraId="5B8659FA" w14:textId="77777777" w:rsidR="00E72343" w:rsidRDefault="00E72343">
      <w:pPr>
        <w:pStyle w:val="Body"/>
      </w:pPr>
    </w:p>
    <w:p w14:paraId="4C36A895" w14:textId="77777777" w:rsidR="00E72343" w:rsidRDefault="00E72343">
      <w:pPr>
        <w:pStyle w:val="Body"/>
      </w:pPr>
    </w:p>
    <w:p w14:paraId="67EE3105" w14:textId="77777777" w:rsidR="00E72343" w:rsidRDefault="00E72343">
      <w:pPr>
        <w:pStyle w:val="Body"/>
      </w:pPr>
    </w:p>
    <w:p w14:paraId="37DB854D" w14:textId="77777777" w:rsidR="00E72343" w:rsidRDefault="00E72343">
      <w:pPr>
        <w:pStyle w:val="Body"/>
      </w:pPr>
    </w:p>
    <w:p w14:paraId="7B95B7CE" w14:textId="77777777" w:rsidR="00E72343" w:rsidRDefault="00E72343">
      <w:pPr>
        <w:pStyle w:val="Body"/>
      </w:pPr>
    </w:p>
    <w:p w14:paraId="39B95C10" w14:textId="77777777" w:rsidR="00E72343" w:rsidRDefault="00E72343">
      <w:pPr>
        <w:pStyle w:val="Body"/>
      </w:pPr>
    </w:p>
    <w:p w14:paraId="170D9FF7" w14:textId="77777777" w:rsidR="00E72343" w:rsidRDefault="00E72343">
      <w:pPr>
        <w:pStyle w:val="Body"/>
      </w:pPr>
    </w:p>
    <w:p w14:paraId="00BE8B85" w14:textId="77777777" w:rsidR="00E72343" w:rsidRDefault="00E72343">
      <w:pPr>
        <w:pStyle w:val="Body"/>
      </w:pPr>
    </w:p>
    <w:p w14:paraId="28FB170E" w14:textId="77777777" w:rsidR="00E72343" w:rsidRDefault="00E72343">
      <w:pPr>
        <w:pStyle w:val="Body"/>
      </w:pPr>
    </w:p>
    <w:p w14:paraId="43B02E3B" w14:textId="77777777" w:rsidR="00E72343" w:rsidRDefault="00E72343">
      <w:pPr>
        <w:pStyle w:val="Body"/>
      </w:pPr>
    </w:p>
    <w:p w14:paraId="58EA70FA" w14:textId="77777777" w:rsidR="00E72343" w:rsidRDefault="00E72343">
      <w:pPr>
        <w:pStyle w:val="Body"/>
      </w:pPr>
    </w:p>
    <w:p w14:paraId="34FCF964" w14:textId="77777777" w:rsidR="00E72343" w:rsidRDefault="00E72343">
      <w:pPr>
        <w:pStyle w:val="Body"/>
      </w:pPr>
    </w:p>
    <w:p w14:paraId="67F8519C" w14:textId="77777777" w:rsidR="00E72343" w:rsidRDefault="00E72343">
      <w:pPr>
        <w:pStyle w:val="Body"/>
      </w:pPr>
    </w:p>
    <w:p w14:paraId="3C5FB72C" w14:textId="77777777" w:rsidR="00E72343" w:rsidRDefault="00E72343">
      <w:pPr>
        <w:pStyle w:val="Body"/>
      </w:pPr>
    </w:p>
    <w:p w14:paraId="3F02E33C" w14:textId="77777777" w:rsidR="00E72343" w:rsidRDefault="00E72343">
      <w:pPr>
        <w:pStyle w:val="Body"/>
      </w:pPr>
    </w:p>
    <w:p w14:paraId="6CD43CE0" w14:textId="77777777" w:rsidR="00E72343" w:rsidRDefault="00E72343">
      <w:pPr>
        <w:pStyle w:val="Body"/>
      </w:pPr>
    </w:p>
    <w:p w14:paraId="2530538A" w14:textId="77777777" w:rsidR="00E72343" w:rsidRDefault="00E72343">
      <w:pPr>
        <w:pStyle w:val="Body"/>
      </w:pPr>
    </w:p>
    <w:p w14:paraId="4A0199D7" w14:textId="77777777" w:rsidR="00E72343" w:rsidRDefault="00E72343">
      <w:pPr>
        <w:pStyle w:val="Body"/>
      </w:pPr>
    </w:p>
    <w:p w14:paraId="3A77BC99" w14:textId="77777777" w:rsidR="00E72343" w:rsidRDefault="00E72343">
      <w:pPr>
        <w:pStyle w:val="Body"/>
      </w:pPr>
    </w:p>
    <w:p w14:paraId="1E8B1E37" w14:textId="77777777" w:rsidR="00E72343" w:rsidRDefault="00E72343">
      <w:pPr>
        <w:pStyle w:val="Body"/>
      </w:pPr>
    </w:p>
    <w:p w14:paraId="5A12D548" w14:textId="77777777" w:rsidR="00E72343" w:rsidRDefault="00E72343">
      <w:pPr>
        <w:pStyle w:val="Body"/>
      </w:pPr>
    </w:p>
    <w:p w14:paraId="1F8D18EE" w14:textId="77777777" w:rsidR="00E72343" w:rsidRDefault="00E72343">
      <w:pPr>
        <w:pStyle w:val="Body"/>
      </w:pPr>
    </w:p>
    <w:p w14:paraId="030219E9" w14:textId="77777777" w:rsidR="00E72343" w:rsidRDefault="00E72343">
      <w:pPr>
        <w:pStyle w:val="Body"/>
      </w:pPr>
    </w:p>
    <w:p w14:paraId="02A8C302" w14:textId="77777777" w:rsidR="00E72343" w:rsidRDefault="00E72343">
      <w:pPr>
        <w:pStyle w:val="Body"/>
      </w:pPr>
    </w:p>
    <w:p w14:paraId="1F4DE285" w14:textId="77777777" w:rsidR="000B6BB4" w:rsidRDefault="000B6BB4">
      <w:pPr>
        <w:pStyle w:val="Body"/>
        <w:rPr>
          <w:color w:val="499BC9" w:themeColor="accent1"/>
        </w:rPr>
      </w:pPr>
      <w:bookmarkStart w:id="0" w:name="_GoBack"/>
      <w:bookmarkEnd w:id="0"/>
    </w:p>
    <w:p w14:paraId="09F7DB09" w14:textId="77777777" w:rsidR="00B74672" w:rsidRDefault="00B74672">
      <w:pPr>
        <w:pStyle w:val="Body"/>
        <w:rPr>
          <w:color w:val="auto"/>
        </w:rPr>
      </w:pPr>
    </w:p>
    <w:p w14:paraId="049AA87D" w14:textId="77777777" w:rsidR="00B74672" w:rsidRDefault="00B74672">
      <w:pPr>
        <w:pStyle w:val="Body"/>
        <w:rPr>
          <w:color w:val="auto"/>
        </w:rPr>
      </w:pPr>
    </w:p>
    <w:p w14:paraId="3C3E6A13" w14:textId="77777777" w:rsidR="00B74672" w:rsidRDefault="00B74672">
      <w:pPr>
        <w:pStyle w:val="Body"/>
        <w:rPr>
          <w:color w:val="auto"/>
        </w:rPr>
      </w:pPr>
    </w:p>
    <w:p w14:paraId="41782A40" w14:textId="77777777" w:rsidR="0005068B" w:rsidRPr="00B74672" w:rsidRDefault="0005068B">
      <w:pPr>
        <w:pStyle w:val="Body"/>
        <w:rPr>
          <w:color w:val="auto"/>
        </w:rPr>
      </w:pPr>
    </w:p>
    <w:sectPr w:rsidR="0005068B" w:rsidRPr="00B7467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7BA00" w14:textId="77777777" w:rsidR="00471255" w:rsidRDefault="00471255">
      <w:r>
        <w:separator/>
      </w:r>
    </w:p>
  </w:endnote>
  <w:endnote w:type="continuationSeparator" w:id="0">
    <w:p w14:paraId="118091C3" w14:textId="77777777" w:rsidR="00471255" w:rsidRDefault="0047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93464" w14:textId="77777777" w:rsidR="0005176E" w:rsidRDefault="000517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9C0CD" w14:textId="77777777" w:rsidR="00471255" w:rsidRDefault="00471255">
      <w:r>
        <w:separator/>
      </w:r>
    </w:p>
  </w:footnote>
  <w:footnote w:type="continuationSeparator" w:id="0">
    <w:p w14:paraId="1998D6ED" w14:textId="77777777" w:rsidR="00471255" w:rsidRDefault="004712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712E5" w14:textId="77777777" w:rsidR="0005176E" w:rsidRDefault="000517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6E"/>
    <w:rsid w:val="0005068B"/>
    <w:rsid w:val="0005176E"/>
    <w:rsid w:val="000B6BB4"/>
    <w:rsid w:val="001E5B4B"/>
    <w:rsid w:val="002610AF"/>
    <w:rsid w:val="002C151E"/>
    <w:rsid w:val="00471255"/>
    <w:rsid w:val="00502B10"/>
    <w:rsid w:val="00597D3C"/>
    <w:rsid w:val="00A73B4E"/>
    <w:rsid w:val="00A74DDB"/>
    <w:rsid w:val="00B74672"/>
    <w:rsid w:val="00DE163B"/>
    <w:rsid w:val="00DE5DCC"/>
    <w:rsid w:val="00E72343"/>
    <w:rsid w:val="00F0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D3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39"/>
    <w:rsid w:val="00B74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05068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39"/>
    <w:rsid w:val="00B74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05068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M</cp:lastModifiedBy>
  <cp:revision>3</cp:revision>
  <dcterms:created xsi:type="dcterms:W3CDTF">2018-11-21T14:43:00Z</dcterms:created>
  <dcterms:modified xsi:type="dcterms:W3CDTF">2018-11-21T14:44:00Z</dcterms:modified>
</cp:coreProperties>
</file>